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T.Hành</w:t>
      </w:r>
      <w:r w:rsidRPr="00FA254E">
        <w:rPr>
          <w:b/>
          <w:bCs/>
          <w:noProof/>
          <w:sz w:val="24"/>
          <w:szCs w:val="24"/>
        </w:rPr>
        <w:t xml:space="preserve"> Giảng dạy 2</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Teaching Practice</w:t>
      </w:r>
      <w:r w:rsidRPr="00FA254E">
        <w:rPr>
          <w:b/>
          <w:bCs/>
          <w:noProof/>
          <w:sz w:val="24"/>
          <w:szCs w:val="24"/>
        </w:rPr>
        <w:t xml:space="preserve"> 2</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ENT380</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rèn luyện cho người học kỹ năng, chiến lược và cách xử lý tình huống  khi giảng dạy các kỹ năng nghe, nói, đọc, viết trong lớp học Tiếng Anh. Người học tham dự các lớp Tiếng Anh chuyên ngữ, đồng thời trình bày mô phỏng các tình huống giảng dạy theo nhóm, cá nhân liên quan đến các nội dung trên.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Rèn luyện</w:t>
      </w:r>
      <w:r w:rsidRPr="00FA254E">
        <w:rPr>
          <w:noProof/>
          <w:sz w:val="24"/>
          <w:szCs w:val="24"/>
        </w:rPr>
        <w:t xml:space="preserve"> người học kỹ năng, chiến lược, chiến thuật cần thiết để tổ chức giảng dạy các kỹ năng nghe, nói, đọc, viết trong lớp học Tiếng Anh.</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rõ tầm quan trọng của các chủ đề trong giảng dạy Tiếng Anh;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Tổ chức</w:t>
      </w:r>
      <w:r w:rsidRPr="00FA254E">
        <w:rPr>
          <w:noProof/>
          <w:sz w:val="24"/>
          <w:szCs w:val="24"/>
        </w:rPr>
        <w:t xml:space="preserve"> tương đối thành thạo một lớp học nghe Tiếng Anh;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Tổ chức</w:t>
      </w:r>
      <w:r w:rsidRPr="00FA254E">
        <w:rPr>
          <w:noProof/>
          <w:sz w:val="24"/>
          <w:szCs w:val="24"/>
        </w:rPr>
        <w:t xml:space="preserve"> tương đối thành thạo một lớp học nói Tiếng Anh;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Tổ chức</w:t>
      </w:r>
      <w:r w:rsidRPr="00FA254E">
        <w:rPr>
          <w:noProof/>
          <w:sz w:val="24"/>
          <w:szCs w:val="24"/>
        </w:rPr>
        <w:t xml:space="preserve"> tương đối thành thạo một lớp học đọc Tiếng Anh;</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Tổ chức</w:t>
      </w:r>
      <w:r w:rsidRPr="00FA254E">
        <w:rPr>
          <w:noProof/>
          <w:sz w:val="24"/>
          <w:szCs w:val="24"/>
        </w:rPr>
        <w:t xml:space="preserve"> tương đối thành thạo một lớp học viết Tiếng Anh;</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học phần và phương pháp học tập</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language</w:t>
            </w:r>
            <w:r w:rsidRPr="00FA254E">
              <w:rPr>
                <w:noProof/>
                <w:sz w:val="24"/>
                <w:szCs w:val="24"/>
              </w:rPr>
              <w:t xml:space="preserve"> skills</w:t>
            </w:r>
          </w:p>
          <w:p w:rsidRPr="00FA254E" w:rsidP="004D1122">
            <w:pPr>
              <w:spacing w:before="40" w:after="40"/>
              <w:rPr>
                <w:sz w:val="24"/>
                <w:szCs w:val="24"/>
              </w:rPr>
            </w:pPr>
            <w:r w:rsidRPr="00FA254E">
              <w:rPr>
                <w:noProof/>
                <w:sz w:val="24"/>
                <w:szCs w:val="24"/>
              </w:rPr>
              <w:t>Skills together</w:t>
            </w:r>
          </w:p>
          <w:p w:rsidRPr="00FA254E" w:rsidP="004D1122">
            <w:pPr>
              <w:spacing w:before="40" w:after="40"/>
              <w:rPr>
                <w:sz w:val="24"/>
                <w:szCs w:val="24"/>
              </w:rPr>
            </w:pPr>
            <w:r w:rsidRPr="00FA254E">
              <w:rPr>
                <w:noProof/>
                <w:sz w:val="24"/>
                <w:szCs w:val="24"/>
              </w:rPr>
              <w:t>Receptive skills</w:t>
            </w:r>
          </w:p>
          <w:p w:rsidR="002655A9" w:rsidRPr="00FA254E" w:rsidP="004D1122">
            <w:pPr>
              <w:spacing w:before="40" w:after="40"/>
              <w:rPr>
                <w:color w:val="000000"/>
                <w:sz w:val="24"/>
                <w:szCs w:val="24"/>
              </w:rPr>
            </w:pPr>
            <w:r w:rsidRPr="00FA254E">
              <w:rPr>
                <w:noProof/>
                <w:sz w:val="24"/>
                <w:szCs w:val="24"/>
              </w:rPr>
              <w:t>Productive skills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002655A9" w:rsidRPr="00FA254E" w:rsidP="00084EF9">
            <w:pPr>
              <w:spacing w:before="40" w:after="40"/>
              <w:rPr>
                <w:color w:val="000000"/>
                <w:sz w:val="24"/>
                <w:szCs w:val="24"/>
              </w:rPr>
            </w:pPr>
            <w:r w:rsidRPr="00FA254E">
              <w:rPr>
                <w:noProof/>
                <w:sz w:val="24"/>
                <w:szCs w:val="24"/>
              </w:rPr>
              <w:t>3.3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reading</w:t>
            </w:r>
            <w:r w:rsidRPr="00FA254E">
              <w:rPr>
                <w:noProof/>
                <w:sz w:val="24"/>
                <w:szCs w:val="24"/>
              </w:rPr>
              <w:t xml:space="preserve"> </w:t>
            </w:r>
          </w:p>
          <w:p w:rsidRPr="00FA254E" w:rsidP="004D1122">
            <w:pPr>
              <w:spacing w:before="40" w:after="40"/>
              <w:rPr>
                <w:sz w:val="24"/>
                <w:szCs w:val="24"/>
              </w:rPr>
            </w:pPr>
            <w:r w:rsidRPr="00FA254E">
              <w:rPr>
                <w:noProof/>
                <w:sz w:val="24"/>
                <w:szCs w:val="24"/>
              </w:rPr>
              <w:t>Intensive reading</w:t>
            </w:r>
          </w:p>
          <w:p w:rsidRPr="00FA254E" w:rsidP="004D1122">
            <w:pPr>
              <w:spacing w:before="40" w:after="40"/>
              <w:rPr>
                <w:sz w:val="24"/>
                <w:szCs w:val="24"/>
              </w:rPr>
            </w:pPr>
            <w:r w:rsidRPr="00FA254E">
              <w:rPr>
                <w:noProof/>
                <w:sz w:val="24"/>
                <w:szCs w:val="24"/>
              </w:rPr>
              <w:t>Extensive reading</w:t>
            </w:r>
          </w:p>
          <w:p w:rsidR="002655A9" w:rsidRPr="00FA254E" w:rsidP="004D1122">
            <w:pPr>
              <w:spacing w:before="40" w:after="40"/>
              <w:rPr>
                <w:color w:val="000000"/>
                <w:sz w:val="24"/>
                <w:szCs w:val="24"/>
              </w:rPr>
            </w:pPr>
            <w:r w:rsidRPr="00FA254E">
              <w:rPr>
                <w:noProof/>
                <w:sz w:val="24"/>
                <w:szCs w:val="24"/>
              </w:rPr>
              <w:t>Reading sequences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002655A9" w:rsidRPr="00FA254E" w:rsidP="00084EF9">
            <w:pPr>
              <w:spacing w:before="40" w:after="40"/>
              <w:rPr>
                <w:color w:val="000000"/>
                <w:sz w:val="24"/>
                <w:szCs w:val="24"/>
              </w:rPr>
            </w:pPr>
            <w:r w:rsidRPr="00FA254E">
              <w:rPr>
                <w:noProof/>
                <w:sz w:val="24"/>
                <w:szCs w:val="24"/>
              </w:rPr>
              <w:t>4,3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listening</w:t>
            </w:r>
          </w:p>
          <w:p w:rsidRPr="00FA254E" w:rsidP="004D1122">
            <w:pPr>
              <w:spacing w:before="40" w:after="40"/>
              <w:rPr>
                <w:sz w:val="24"/>
                <w:szCs w:val="24"/>
              </w:rPr>
            </w:pPr>
            <w:r w:rsidRPr="00FA254E">
              <w:rPr>
                <w:noProof/>
                <w:sz w:val="24"/>
                <w:szCs w:val="24"/>
              </w:rPr>
              <w:t>Skills and strategies</w:t>
            </w:r>
          </w:p>
          <w:p w:rsidRPr="00FA254E" w:rsidP="004D1122">
            <w:pPr>
              <w:spacing w:before="40" w:after="40"/>
              <w:rPr>
                <w:sz w:val="24"/>
                <w:szCs w:val="24"/>
              </w:rPr>
            </w:pPr>
            <w:r w:rsidRPr="00FA254E">
              <w:rPr>
                <w:noProof/>
                <w:sz w:val="24"/>
                <w:szCs w:val="24"/>
              </w:rPr>
              <w:t>Extensive listening</w:t>
            </w:r>
          </w:p>
          <w:p w:rsidR="002655A9" w:rsidRPr="00FA254E" w:rsidP="004D1122">
            <w:pPr>
              <w:spacing w:before="40" w:after="40"/>
              <w:rPr>
                <w:color w:val="000000"/>
                <w:sz w:val="24"/>
                <w:szCs w:val="24"/>
              </w:rPr>
            </w:pPr>
            <w:r w:rsidRPr="00FA254E">
              <w:rPr>
                <w:noProof/>
                <w:sz w:val="24"/>
                <w:szCs w:val="24"/>
              </w:rPr>
              <w:t>Using film and video</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002655A9" w:rsidRPr="00FA254E" w:rsidP="00084EF9">
            <w:pPr>
              <w:spacing w:before="40" w:after="40"/>
              <w:rPr>
                <w:color w:val="000000"/>
                <w:sz w:val="24"/>
                <w:szCs w:val="24"/>
              </w:rPr>
            </w:pPr>
            <w:r w:rsidRPr="00FA254E">
              <w:rPr>
                <w:noProof/>
                <w:sz w:val="24"/>
                <w:szCs w:val="24"/>
              </w:rPr>
              <w:t>5.4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writing</w:t>
            </w:r>
            <w:r w:rsidRPr="00FA254E">
              <w:rPr>
                <w:noProof/>
                <w:sz w:val="24"/>
                <w:szCs w:val="24"/>
              </w:rPr>
              <w:t xml:space="preserve"> </w:t>
            </w:r>
          </w:p>
          <w:p w:rsidRPr="00FA254E" w:rsidP="004D1122">
            <w:pPr>
              <w:spacing w:before="40" w:after="40"/>
              <w:rPr>
                <w:sz w:val="24"/>
                <w:szCs w:val="24"/>
              </w:rPr>
            </w:pPr>
            <w:r w:rsidRPr="00FA254E">
              <w:rPr>
                <w:noProof/>
                <w:sz w:val="24"/>
                <w:szCs w:val="24"/>
              </w:rPr>
              <w:t>Creative writing</w:t>
            </w:r>
          </w:p>
          <w:p w:rsidRPr="00FA254E" w:rsidP="004D1122">
            <w:pPr>
              <w:spacing w:before="40" w:after="40"/>
              <w:rPr>
                <w:sz w:val="24"/>
                <w:szCs w:val="24"/>
              </w:rPr>
            </w:pPr>
            <w:r w:rsidRPr="00FA254E">
              <w:rPr>
                <w:noProof/>
                <w:sz w:val="24"/>
                <w:szCs w:val="24"/>
              </w:rPr>
              <w:t>Building the writing habit</w:t>
            </w:r>
          </w:p>
          <w:p w:rsidRPr="00FA254E" w:rsidP="004D1122">
            <w:pPr>
              <w:spacing w:before="40" w:after="40"/>
              <w:rPr>
                <w:sz w:val="24"/>
                <w:szCs w:val="24"/>
              </w:rPr>
            </w:pPr>
            <w:r w:rsidRPr="00FA254E">
              <w:rPr>
                <w:noProof/>
                <w:sz w:val="24"/>
                <w:szCs w:val="24"/>
              </w:rPr>
              <w:t>The role of the teacher</w:t>
            </w:r>
          </w:p>
          <w:p w:rsidR="002655A9" w:rsidRPr="00FA254E" w:rsidP="004D1122">
            <w:pPr>
              <w:spacing w:before="40" w:after="40"/>
              <w:rPr>
                <w:color w:val="000000"/>
                <w:sz w:val="24"/>
                <w:szCs w:val="24"/>
              </w:rPr>
            </w:pPr>
            <w:r w:rsidRPr="00FA254E">
              <w:rPr>
                <w:noProof/>
                <w:sz w:val="24"/>
                <w:szCs w:val="24"/>
              </w:rPr>
              <w:t>Portfolios and journals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002655A9" w:rsidRPr="00FA254E" w:rsidP="00084EF9">
            <w:pPr>
              <w:spacing w:before="40" w:after="40"/>
              <w:rPr>
                <w:color w:val="000000"/>
                <w:sz w:val="24"/>
                <w:szCs w:val="24"/>
              </w:rPr>
            </w:pPr>
            <w:r w:rsidRPr="00FA254E">
              <w:rPr>
                <w:noProof/>
                <w:sz w:val="24"/>
                <w:szCs w:val="24"/>
              </w:rPr>
              <w:t>6.3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speaking</w:t>
            </w:r>
            <w:r w:rsidRPr="00FA254E">
              <w:rPr>
                <w:noProof/>
                <w:sz w:val="24"/>
                <w:szCs w:val="24"/>
              </w:rPr>
              <w:t xml:space="preserve"> </w:t>
            </w:r>
          </w:p>
          <w:p w:rsidRPr="00FA254E" w:rsidP="004D1122">
            <w:pPr>
              <w:spacing w:before="40" w:after="40"/>
              <w:rPr>
                <w:sz w:val="24"/>
                <w:szCs w:val="24"/>
              </w:rPr>
            </w:pPr>
            <w:r w:rsidRPr="00FA254E">
              <w:rPr>
                <w:noProof/>
                <w:sz w:val="24"/>
                <w:szCs w:val="24"/>
              </w:rPr>
              <w:t>Students and speaking</w:t>
            </w:r>
          </w:p>
          <w:p w:rsidRPr="00FA254E" w:rsidP="004D1122">
            <w:pPr>
              <w:spacing w:before="40" w:after="40"/>
              <w:rPr>
                <w:sz w:val="24"/>
                <w:szCs w:val="24"/>
              </w:rPr>
            </w:pPr>
            <w:r w:rsidRPr="00FA254E">
              <w:rPr>
                <w:noProof/>
                <w:sz w:val="24"/>
                <w:szCs w:val="24"/>
              </w:rPr>
              <w:t>Speaking activity types</w:t>
            </w:r>
          </w:p>
          <w:p w:rsidR="002655A9" w:rsidRPr="00FA254E" w:rsidP="004D1122">
            <w:pPr>
              <w:spacing w:before="40" w:after="40"/>
              <w:rPr>
                <w:color w:val="000000"/>
                <w:sz w:val="24"/>
                <w:szCs w:val="24"/>
              </w:rPr>
            </w:pPr>
            <w:r w:rsidRPr="00FA254E">
              <w:rPr>
                <w:noProof/>
                <w:sz w:val="24"/>
                <w:szCs w:val="24"/>
              </w:rPr>
              <w:t>Speaking sequences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Review &amp;</w:t>
            </w:r>
            <w:r w:rsidRPr="00FA254E">
              <w:rPr>
                <w:noProof/>
                <w:sz w:val="24"/>
                <w:szCs w:val="24"/>
              </w:rPr>
              <w:t xml:space="preserve"> Assessment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2</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6</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theo nhóm, nghiên cứu tình huống, sử dụng phim tư liệu, 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c</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Jeremy Harmer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The Practice</w:t>
            </w:r>
            <w:r w:rsidRPr="00FA254E">
              <w:rPr>
                <w:noProof/>
                <w:sz w:val="24"/>
                <w:szCs w:val="24"/>
              </w:rPr>
              <w:t xml:space="preserve"> of English language Teaching (5th edition)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Shaping the</w:t>
            </w:r>
            <w:r w:rsidRPr="00FA254E">
              <w:rPr>
                <w:noProof/>
                <w:sz w:val="24"/>
                <w:szCs w:val="24"/>
              </w:rPr>
              <w:t xml:space="preserve"> Way We Teach English: From Observation to Action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United States</w:t>
            </w:r>
            <w:r w:rsidRPr="00FA254E">
              <w:rPr>
                <w:noProof/>
                <w:sz w:val="24"/>
                <w:szCs w:val="24"/>
              </w:rPr>
              <w:t xml:space="preserve"> Department of State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Jack C</w:t>
            </w:r>
            <w:r w:rsidRPr="00FA254E">
              <w:rPr>
                <w:noProof/>
                <w:sz w:val="24"/>
                <w:szCs w:val="24"/>
              </w:rPr>
              <w:t>. Richards &amp; Willy A. Renandya</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Methodology in</w:t>
            </w:r>
            <w:r w:rsidRPr="00FA254E">
              <w:rPr>
                <w:noProof/>
                <w:sz w:val="24"/>
                <w:szCs w:val="24"/>
              </w:rPr>
              <w:t xml:space="preserve"> Language Teaching: an anthology of current practice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Cambridge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Diane Larsen-Freeman</w:t>
            </w:r>
          </w:p>
          <w:p w:rsidR="003D6B9E" w:rsidRPr="00FA254E" w:rsidP="003D6B9E">
            <w:pPr>
              <w:spacing w:before="40" w:after="40"/>
              <w:jc w:val="both"/>
              <w:rPr>
                <w:sz w:val="24"/>
                <w:szCs w:val="24"/>
              </w:rPr>
            </w:pPr>
            <w:r w:rsidRPr="00FA254E">
              <w:rPr>
                <w:noProof/>
                <w:sz w:val="24"/>
                <w:szCs w:val="24"/>
              </w:rPr>
              <w:t>&amp; Marti Anderson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Techniques &amp;</w:t>
            </w:r>
            <w:r w:rsidRPr="00FA254E">
              <w:rPr>
                <w:noProof/>
                <w:sz w:val="24"/>
                <w:szCs w:val="24"/>
              </w:rPr>
              <w:t xml:space="preserve"> Principles in Language Teaching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Oxford</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Penny Ur</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 course</w:t>
            </w:r>
            <w:r w:rsidRPr="00FA254E">
              <w:rPr>
                <w:noProof/>
                <w:sz w:val="24"/>
                <w:szCs w:val="24"/>
              </w:rPr>
              <w:t xml:space="preserve"> in Language Teaching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1999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Cambridge University</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Đặng Kiều</w:t>
      </w:r>
      <w:r>
        <w:rPr>
          <w:b/>
          <w:bCs/>
          <w:noProof/>
          <w:sz w:val="24"/>
          <w:szCs w:val="24"/>
        </w:rPr>
        <w:t xml:space="preserve"> Diệp</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